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D93" w:rsidRPr="007C1D93" w:rsidRDefault="007C1D93" w:rsidP="004F30AE">
      <w:pPr>
        <w:spacing w:line="480" w:lineRule="exact"/>
        <w:rPr>
          <w:rFonts w:ascii="微軟正黑體" w:eastAsia="DengXian" w:hAnsi="微軟正黑體" w:cs="Times New Roman" w:hint="eastAsia"/>
          <w:b/>
          <w:bCs/>
          <w:sz w:val="28"/>
          <w:szCs w:val="28"/>
          <w:lang w:eastAsia="zh-CN"/>
        </w:rPr>
      </w:pPr>
    </w:p>
    <w:p w:rsidR="00C710DB" w:rsidRPr="008F4F55" w:rsidRDefault="00C67600" w:rsidP="00C67600">
      <w:pPr>
        <w:widowControl/>
        <w:numPr>
          <w:ilvl w:val="0"/>
          <w:numId w:val="9"/>
        </w:numPr>
        <w:autoSpaceDE w:val="0"/>
        <w:autoSpaceDN w:val="0"/>
        <w:snapToGrid w:val="0"/>
        <w:rPr>
          <w:rFonts w:ascii="微軟正黑體" w:eastAsia="微軟正黑體" w:hAnsi="微軟正黑體"/>
          <w:b/>
          <w:bCs/>
          <w:sz w:val="28"/>
          <w:szCs w:val="28"/>
          <w:lang w:eastAsia="zh-CN"/>
        </w:rPr>
      </w:pPr>
      <w:r w:rsidRPr="007C1D93">
        <w:rPr>
          <w:rFonts w:ascii="微軟正黑體" w:eastAsia="微軟正黑體" w:hAnsi="微軟正黑體" w:hint="eastAsia"/>
          <w:b/>
          <w:bCs/>
          <w:sz w:val="28"/>
          <w:szCs w:val="28"/>
          <w:lang w:eastAsia="zh-CN"/>
        </w:rPr>
        <w:t>公開說明書變動</w:t>
      </w:r>
    </w:p>
    <w:p w:rsidR="008F4F55" w:rsidRPr="008F4F55" w:rsidRDefault="008F4F55" w:rsidP="008F4F55">
      <w:pPr>
        <w:widowControl/>
        <w:autoSpaceDE w:val="0"/>
        <w:autoSpaceDN w:val="0"/>
        <w:snapToGrid w:val="0"/>
        <w:rPr>
          <w:rFonts w:ascii="微軟正黑體" w:eastAsia="微軟正黑體" w:hAnsi="微軟正黑體" w:hint="eastAsia"/>
          <w:b/>
          <w:bCs/>
          <w:sz w:val="28"/>
          <w:szCs w:val="28"/>
          <w:lang w:eastAsia="zh-CN"/>
        </w:rPr>
      </w:pPr>
      <w:bookmarkStart w:id="0" w:name="_GoBack"/>
      <w:bookmarkEnd w:id="0"/>
    </w:p>
    <w:p w:rsidR="00C67600" w:rsidRPr="008F4F55" w:rsidRDefault="008F4F55" w:rsidP="008F4F55">
      <w:pPr>
        <w:widowControl/>
        <w:autoSpaceDE w:val="0"/>
        <w:autoSpaceDN w:val="0"/>
        <w:snapToGrid w:val="0"/>
        <w:rPr>
          <w:rFonts w:ascii="微軟正黑體" w:eastAsia="DengXian" w:hAnsi="微軟正黑體" w:hint="eastAsia"/>
          <w:b/>
          <w:bCs/>
          <w:sz w:val="28"/>
          <w:szCs w:val="28"/>
          <w:lang w:eastAsia="zh-CN"/>
        </w:rPr>
      </w:pPr>
      <w:r w:rsidRPr="008F4F55">
        <w:rPr>
          <w:rFonts w:ascii="微軟正黑體" w:eastAsia="微軟正黑體" w:hAnsi="微軟正黑體" w:cs="Times New Roman" w:hint="eastAsia"/>
          <w:b/>
          <w:bCs/>
          <w:color w:val="3333FF"/>
        </w:rPr>
        <w:t>2026年3月版本</w:t>
      </w:r>
      <w:r w:rsidRPr="008F4F55">
        <w:rPr>
          <w:rFonts w:ascii="微軟正黑體" w:eastAsia="微軟正黑體" w:hAnsi="微軟正黑體" w:cs="Times New Roman" w:hint="eastAsia"/>
          <w:b/>
          <w:bCs/>
          <w:lang w:eastAsia="zh-CN"/>
        </w:rPr>
        <w:t>公開說明書所載內容之變動</w:t>
      </w:r>
      <w:r w:rsidRPr="008F4F55">
        <w:rPr>
          <w:rFonts w:ascii="微軟正黑體" w:eastAsia="微軟正黑體" w:hAnsi="微軟正黑體" w:cs="Times New Roman" w:hint="eastAsia"/>
          <w:b/>
          <w:bCs/>
          <w:color w:val="1F497D"/>
        </w:rPr>
        <w:t>，</w:t>
      </w:r>
      <w:r w:rsidRPr="008F4F55">
        <w:rPr>
          <w:rFonts w:ascii="微軟正黑體" w:eastAsia="微軟正黑體" w:hAnsi="微軟正黑體" w:cs="Times New Roman" w:hint="eastAsia"/>
          <w:b/>
          <w:bCs/>
          <w:lang w:eastAsia="zh-CN"/>
        </w:rPr>
        <w:t>修訂重點摘要如下：</w:t>
      </w:r>
    </w:p>
    <w:p w:rsidR="00C67600" w:rsidRPr="00C67600" w:rsidRDefault="00C67600" w:rsidP="007C1D93">
      <w:pPr>
        <w:widowControl/>
        <w:numPr>
          <w:ilvl w:val="0"/>
          <w:numId w:val="5"/>
        </w:numPr>
        <w:spacing w:line="360" w:lineRule="exact"/>
        <w:contextualSpacing/>
        <w:rPr>
          <w:rFonts w:ascii="微軟正黑體" w:eastAsia="微軟正黑體" w:hAnsi="微軟正黑體" w:cs="Calibri"/>
          <w:b/>
          <w:bCs/>
          <w:kern w:val="0"/>
          <w:szCs w:val="24"/>
        </w:rPr>
      </w:pPr>
      <w:r w:rsidRPr="00C67600">
        <w:rPr>
          <w:rFonts w:ascii="微軟正黑體" w:eastAsia="微軟正黑體" w:hAnsi="微軟正黑體" w:cs="Calibri" w:hint="eastAsia"/>
          <w:b/>
          <w:bCs/>
          <w:kern w:val="0"/>
          <w:szCs w:val="24"/>
        </w:rPr>
        <w:t>「基金資訊、目標及投資政策」章節：</w:t>
      </w:r>
    </w:p>
    <w:p w:rsidR="00C67600" w:rsidRPr="00C67600" w:rsidRDefault="00C67600" w:rsidP="00C67600">
      <w:pPr>
        <w:widowControl/>
        <w:numPr>
          <w:ilvl w:val="0"/>
          <w:numId w:val="7"/>
        </w:numPr>
        <w:spacing w:line="360" w:lineRule="exact"/>
        <w:contextualSpacing/>
        <w:jc w:val="both"/>
        <w:rPr>
          <w:rFonts w:ascii="微軟正黑體" w:eastAsia="微軟正黑體" w:hAnsi="微軟正黑體" w:cs="Calibri" w:hint="eastAsia"/>
          <w:kern w:val="0"/>
          <w:szCs w:val="24"/>
        </w:rPr>
      </w:pP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b/>
          <w:bCs/>
          <w:color w:val="3333FF"/>
          <w:kern w:val="0"/>
          <w:szCs w:val="24"/>
        </w:rPr>
        <w:t>全球基金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kern w:val="0"/>
          <w:szCs w:val="24"/>
        </w:rPr>
        <w:t>以註腳補充(1)該基金英文名稱由Templeton Global Fund變更為 Templeton Global Focus Fund；(2)於「投資政策」闡明得將不超過10%的淨資產投資於市值在購買時低於100億美元的中小型公司；(3)於風險考量項下「其他風險」新增「中小型公司風險」；前述異動皆自2026年6月8日起生效。</w:t>
      </w:r>
    </w:p>
    <w:p w:rsidR="00C67600" w:rsidRPr="00C67600" w:rsidRDefault="00C67600" w:rsidP="00C67600">
      <w:pPr>
        <w:widowControl/>
        <w:numPr>
          <w:ilvl w:val="0"/>
          <w:numId w:val="7"/>
        </w:numPr>
        <w:spacing w:line="360" w:lineRule="exact"/>
        <w:contextualSpacing/>
        <w:jc w:val="both"/>
        <w:rPr>
          <w:rFonts w:ascii="微軟正黑體" w:eastAsia="微軟正黑體" w:hAnsi="微軟正黑體" w:cs="Calibri" w:hint="eastAsia"/>
          <w:kern w:val="0"/>
          <w:szCs w:val="24"/>
        </w:rPr>
      </w:pP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b/>
          <w:bCs/>
          <w:color w:val="3333FF"/>
          <w:kern w:val="0"/>
          <w:szCs w:val="24"/>
        </w:rPr>
        <w:t>全球穩定月收益基金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kern w:val="0"/>
          <w:szCs w:val="24"/>
        </w:rPr>
        <w:t>(1)於「投資政策」調整得運用之衍生性金融商品；(2)刪除互換交易(例如與固定收益、股票和股權相關證券及其指數的總報酬互換交易、信用違約互換交易和利率互換交易)；(3)刪除總報酬互換</w:t>
      </w:r>
      <w:proofErr w:type="gramStart"/>
      <w:r w:rsidRPr="00C67600">
        <w:rPr>
          <w:rFonts w:ascii="微軟正黑體" w:eastAsia="微軟正黑體" w:hAnsi="微軟正黑體" w:cs="Calibri" w:hint="eastAsia"/>
          <w:kern w:val="0"/>
          <w:szCs w:val="24"/>
        </w:rPr>
        <w:t>交易曝險</w:t>
      </w:r>
      <w:proofErr w:type="gramEnd"/>
      <w:r w:rsidRPr="00C67600">
        <w:rPr>
          <w:rFonts w:ascii="微軟正黑體" w:eastAsia="微軟正黑體" w:hAnsi="微軟正黑體" w:cs="Calibri" w:hint="eastAsia"/>
          <w:kern w:val="0"/>
          <w:szCs w:val="24"/>
        </w:rPr>
        <w:t>；(4)於風險考量項下「其他風險」刪除「互換交易協定風險」。</w:t>
      </w:r>
    </w:p>
    <w:p w:rsidR="00C67600" w:rsidRPr="00C67600" w:rsidRDefault="00C67600" w:rsidP="00C67600">
      <w:pPr>
        <w:widowControl/>
        <w:spacing w:line="360" w:lineRule="exact"/>
        <w:ind w:left="480"/>
        <w:contextualSpacing/>
        <w:jc w:val="both"/>
        <w:rPr>
          <w:rFonts w:ascii="微軟正黑體" w:eastAsia="微軟正黑體" w:hAnsi="微軟正黑體" w:cs="Calibri" w:hint="eastAsia"/>
          <w:kern w:val="0"/>
          <w:szCs w:val="24"/>
        </w:rPr>
      </w:pPr>
    </w:p>
    <w:p w:rsidR="00C67600" w:rsidRPr="00C67600" w:rsidRDefault="00C67600" w:rsidP="00C67600">
      <w:pPr>
        <w:widowControl/>
        <w:numPr>
          <w:ilvl w:val="0"/>
          <w:numId w:val="5"/>
        </w:numPr>
        <w:spacing w:line="360" w:lineRule="exact"/>
        <w:contextualSpacing/>
        <w:rPr>
          <w:rFonts w:ascii="微軟正黑體" w:eastAsia="微軟正黑體" w:hAnsi="微軟正黑體" w:cs="Calibri" w:hint="eastAsia"/>
          <w:b/>
          <w:bCs/>
          <w:kern w:val="0"/>
          <w:szCs w:val="24"/>
        </w:rPr>
      </w:pPr>
      <w:r w:rsidRPr="00C67600">
        <w:rPr>
          <w:rFonts w:ascii="微軟正黑體" w:eastAsia="微軟正黑體" w:hAnsi="微軟正黑體" w:cs="Calibri" w:hint="eastAsia"/>
          <w:b/>
          <w:bCs/>
          <w:kern w:val="0"/>
          <w:szCs w:val="24"/>
        </w:rPr>
        <w:t>「附錄B</w:t>
      </w:r>
      <w:proofErr w:type="gramStart"/>
      <w:r w:rsidRPr="00C67600">
        <w:rPr>
          <w:rFonts w:ascii="微軟正黑體" w:eastAsia="微軟正黑體" w:hAnsi="微軟正黑體" w:cs="Calibri" w:hint="eastAsia"/>
          <w:b/>
          <w:bCs/>
          <w:kern w:val="0"/>
          <w:szCs w:val="24"/>
        </w:rPr>
        <w:t>─</w:t>
      </w:r>
      <w:proofErr w:type="gramEnd"/>
      <w:r w:rsidRPr="00C67600">
        <w:rPr>
          <w:rFonts w:ascii="微軟正黑體" w:eastAsia="微軟正黑體" w:hAnsi="微軟正黑體" w:cs="Calibri" w:hint="eastAsia"/>
          <w:b/>
          <w:bCs/>
          <w:kern w:val="0"/>
          <w:szCs w:val="24"/>
        </w:rPr>
        <w:t>投資限制規定」章節之「其他當地限制」：</w:t>
      </w:r>
    </w:p>
    <w:p w:rsidR="00C67600" w:rsidRPr="00C67600" w:rsidRDefault="00C67600" w:rsidP="00C67600">
      <w:pPr>
        <w:widowControl/>
        <w:numPr>
          <w:ilvl w:val="0"/>
          <w:numId w:val="8"/>
        </w:numPr>
        <w:spacing w:line="360" w:lineRule="exact"/>
        <w:contextualSpacing/>
        <w:rPr>
          <w:rFonts w:ascii="微軟正黑體" w:eastAsia="微軟正黑體" w:hAnsi="微軟正黑體" w:cs="Calibri" w:hint="eastAsia"/>
          <w:kern w:val="0"/>
          <w:szCs w:val="24"/>
        </w:rPr>
      </w:pPr>
      <w:r w:rsidRPr="00C67600">
        <w:rPr>
          <w:rFonts w:ascii="微軟正黑體" w:eastAsia="微軟正黑體" w:hAnsi="微軟正黑體" w:cs="Calibri" w:hint="eastAsia"/>
          <w:kern w:val="0"/>
          <w:szCs w:val="24"/>
        </w:rPr>
        <w:t>馬來西亞：(1)接受投資於馬來西亞證管會授權的馬來西亞連結式基金的子基金新增</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b/>
          <w:bCs/>
          <w:color w:val="3333FF"/>
          <w:kern w:val="0"/>
          <w:szCs w:val="24"/>
        </w:rPr>
        <w:t>科技基金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kern w:val="0"/>
          <w:szCs w:val="24"/>
        </w:rPr>
        <w:t>；(2)調整子基金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b/>
          <w:bCs/>
          <w:color w:val="3333FF"/>
          <w:kern w:val="0"/>
          <w:szCs w:val="24"/>
        </w:rPr>
        <w:t>生技領航基金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b/>
          <w:bCs/>
          <w:color w:val="3333FF"/>
          <w:kern w:val="0"/>
          <w:szCs w:val="24"/>
        </w:rPr>
        <w:t>印度基金</w:t>
      </w:r>
      <w:r w:rsidRPr="00C67600">
        <w:rPr>
          <w:rFonts w:ascii="微軟正黑體" w:eastAsia="微軟正黑體" w:hAnsi="微軟正黑體" w:cs="Calibri" w:hint="eastAsia"/>
          <w:b/>
          <w:bCs/>
          <w:kern w:val="0"/>
          <w:szCs w:val="24"/>
        </w:rPr>
        <w:t>」和「</w:t>
      </w:r>
      <w:r w:rsidRPr="00C67600">
        <w:rPr>
          <w:rFonts w:ascii="微軟正黑體" w:eastAsia="微軟正黑體" w:hAnsi="微軟正黑體" w:cs="Calibri" w:hint="eastAsia"/>
          <w:b/>
          <w:bCs/>
          <w:color w:val="3333FF"/>
          <w:kern w:val="0"/>
          <w:szCs w:val="24"/>
        </w:rPr>
        <w:t>科技基金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kern w:val="0"/>
          <w:szCs w:val="24"/>
        </w:rPr>
        <w:t>投資於馬來西亞證管會授權的馬來西亞連結式基金遵守之單位信託基金指引要求。</w:t>
      </w:r>
    </w:p>
    <w:p w:rsidR="00C67600" w:rsidRPr="00C67600" w:rsidRDefault="00C67600" w:rsidP="00C67600">
      <w:pPr>
        <w:widowControl/>
        <w:numPr>
          <w:ilvl w:val="0"/>
          <w:numId w:val="8"/>
        </w:numPr>
        <w:spacing w:line="360" w:lineRule="exact"/>
        <w:contextualSpacing/>
        <w:rPr>
          <w:rFonts w:ascii="微軟正黑體" w:eastAsia="微軟正黑體" w:hAnsi="微軟正黑體" w:cs="Calibri" w:hint="eastAsia"/>
          <w:kern w:val="0"/>
          <w:szCs w:val="24"/>
        </w:rPr>
      </w:pPr>
      <w:r w:rsidRPr="00C67600">
        <w:rPr>
          <w:rFonts w:ascii="微軟正黑體" w:eastAsia="微軟正黑體" w:hAnsi="微軟正黑體" w:cs="Calibri" w:hint="eastAsia"/>
          <w:kern w:val="0"/>
          <w:szCs w:val="24"/>
        </w:rPr>
        <w:t>日本：接受日本個人儲蓄帳戶(NISA; Nippon Individual Savings Account)客戶投資期間之衍生性金融商品使用規範的子基金新增</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b/>
          <w:bCs/>
          <w:color w:val="3333FF"/>
          <w:kern w:val="0"/>
          <w:szCs w:val="24"/>
        </w:rPr>
        <w:t>全球平衡基金</w:t>
      </w:r>
      <w:r w:rsidRPr="00C67600">
        <w:rPr>
          <w:rFonts w:ascii="微軟正黑體" w:eastAsia="微軟正黑體" w:hAnsi="微軟正黑體" w:cs="Calibri" w:hint="eastAsia"/>
          <w:b/>
          <w:bCs/>
          <w:kern w:val="0"/>
          <w:szCs w:val="24"/>
        </w:rPr>
        <w:t>」</w:t>
      </w:r>
      <w:r w:rsidRPr="00C67600">
        <w:rPr>
          <w:rFonts w:ascii="微軟正黑體" w:eastAsia="微軟正黑體" w:hAnsi="微軟正黑體" w:cs="Calibri" w:hint="eastAsia"/>
          <w:kern w:val="0"/>
          <w:szCs w:val="24"/>
        </w:rPr>
        <w:t>。</w:t>
      </w:r>
    </w:p>
    <w:p w:rsidR="00C67600" w:rsidRPr="00C67600" w:rsidRDefault="00C67600" w:rsidP="00C67600">
      <w:pPr>
        <w:widowControl/>
        <w:spacing w:line="360" w:lineRule="exact"/>
        <w:rPr>
          <w:rFonts w:ascii="微軟正黑體" w:eastAsia="微軟正黑體" w:hAnsi="微軟正黑體" w:cs="Calibri" w:hint="eastAsia"/>
          <w:color w:val="2E74B5"/>
          <w:kern w:val="0"/>
          <w:sz w:val="32"/>
          <w:szCs w:val="32"/>
        </w:rPr>
      </w:pPr>
    </w:p>
    <w:p w:rsidR="00C67600" w:rsidRPr="007C1D93" w:rsidRDefault="00C67600" w:rsidP="00C67600">
      <w:pPr>
        <w:widowControl/>
        <w:numPr>
          <w:ilvl w:val="0"/>
          <w:numId w:val="5"/>
        </w:numPr>
        <w:spacing w:line="360" w:lineRule="exact"/>
        <w:contextualSpacing/>
        <w:rPr>
          <w:rFonts w:ascii="微軟正黑體" w:eastAsia="微軟正黑體" w:hAnsi="微軟正黑體" w:cs="Calibri"/>
          <w:kern w:val="0"/>
          <w:szCs w:val="24"/>
        </w:rPr>
      </w:pPr>
      <w:r w:rsidRPr="00C67600">
        <w:rPr>
          <w:rFonts w:ascii="微軟正黑體" w:eastAsia="微軟正黑體" w:hAnsi="微軟正黑體" w:cs="Calibri" w:hint="eastAsia"/>
          <w:b/>
          <w:bCs/>
          <w:kern w:val="0"/>
          <w:szCs w:val="24"/>
        </w:rPr>
        <w:t>「附錄D</w:t>
      </w:r>
      <w:proofErr w:type="gramStart"/>
      <w:r w:rsidRPr="00C67600">
        <w:rPr>
          <w:rFonts w:ascii="微軟正黑體" w:eastAsia="微軟正黑體" w:hAnsi="微軟正黑體" w:cs="Calibri" w:hint="eastAsia"/>
          <w:b/>
          <w:bCs/>
          <w:kern w:val="0"/>
          <w:szCs w:val="24"/>
        </w:rPr>
        <w:t>─</w:t>
      </w:r>
      <w:proofErr w:type="gramEnd"/>
      <w:r w:rsidRPr="00C67600">
        <w:rPr>
          <w:rFonts w:ascii="微軟正黑體" w:eastAsia="微軟正黑體" w:hAnsi="微軟正黑體" w:cs="Calibri" w:hint="eastAsia"/>
          <w:b/>
          <w:bCs/>
          <w:kern w:val="0"/>
          <w:szCs w:val="24"/>
        </w:rPr>
        <w:t>股份淨資產價值的判定」章節之「擺動定價調整」：</w:t>
      </w:r>
      <w:r w:rsidRPr="00C67600">
        <w:rPr>
          <w:rFonts w:ascii="微軟正黑體" w:eastAsia="微軟正黑體" w:hAnsi="微軟正黑體" w:cs="Calibri" w:hint="eastAsia"/>
          <w:kern w:val="0"/>
          <w:szCs w:val="24"/>
        </w:rPr>
        <w:t>調整「擺動定價調整」之敘述：為防範稀釋效應並保護股東權益，基金</w:t>
      </w:r>
      <w:proofErr w:type="gramStart"/>
      <w:r w:rsidRPr="00C67600">
        <w:rPr>
          <w:rFonts w:ascii="微軟正黑體" w:eastAsia="微軟正黑體" w:hAnsi="微軟正黑體" w:cs="Calibri" w:hint="eastAsia"/>
          <w:kern w:val="0"/>
          <w:szCs w:val="24"/>
        </w:rPr>
        <w:t>採</w:t>
      </w:r>
      <w:proofErr w:type="gramEnd"/>
      <w:r w:rsidRPr="00C67600">
        <w:rPr>
          <w:rFonts w:ascii="微軟正黑體" w:eastAsia="微軟正黑體" w:hAnsi="微軟正黑體" w:cs="Calibri" w:hint="eastAsia"/>
          <w:kern w:val="0"/>
          <w:szCs w:val="24"/>
        </w:rPr>
        <w:t>行「擺動定價調整」機制。若無前述機制，</w:t>
      </w:r>
      <w:proofErr w:type="gramStart"/>
      <w:r w:rsidRPr="00C67600">
        <w:rPr>
          <w:rFonts w:ascii="微軟正黑體" w:eastAsia="微軟正黑體" w:hAnsi="微軟正黑體" w:cs="Calibri" w:hint="eastAsia"/>
          <w:kern w:val="0"/>
          <w:szCs w:val="24"/>
        </w:rPr>
        <w:t>基金申贖價格</w:t>
      </w:r>
      <w:proofErr w:type="gramEnd"/>
      <w:r w:rsidRPr="00C67600">
        <w:rPr>
          <w:rFonts w:ascii="微軟正黑體" w:eastAsia="微軟正黑體" w:hAnsi="微軟正黑體" w:cs="Calibri" w:hint="eastAsia"/>
          <w:kern w:val="0"/>
          <w:szCs w:val="24"/>
        </w:rPr>
        <w:t>將無法反映當面臨大量資金流入或流出而進行基金投資組合交易的相關交易成本所產生的稀釋。此調整可能因基金而異，通常不適用於貨幣市場型基金，一般調整幅度不超過原每股淨資產價值(NAV)的2%，在特殊情況下或認為符合股東最佳利益時，經董事會同意亦得酌予提高。原則上，當出現淨流入時上調NAV，當出現淨流出時則下調NAV，此調整適用於相關交易日的所有交易。當基金處於生命週期早期或成長階段且資產尚未達到最佳規模時，基金公司亦會考量對其申購資金</w:t>
      </w:r>
      <w:proofErr w:type="gramStart"/>
      <w:r w:rsidRPr="00C67600">
        <w:rPr>
          <w:rFonts w:ascii="微軟正黑體" w:eastAsia="微軟正黑體" w:hAnsi="微軟正黑體" w:cs="Calibri" w:hint="eastAsia"/>
          <w:kern w:val="0"/>
          <w:szCs w:val="24"/>
        </w:rPr>
        <w:t>採</w:t>
      </w:r>
      <w:proofErr w:type="gramEnd"/>
      <w:r w:rsidRPr="00C67600">
        <w:rPr>
          <w:rFonts w:ascii="微軟正黑體" w:eastAsia="微軟正黑體" w:hAnsi="微軟正黑體" w:cs="Calibri" w:hint="eastAsia"/>
          <w:kern w:val="0"/>
          <w:szCs w:val="24"/>
        </w:rPr>
        <w:t>行「擺動定價調整」機制，前提是若收受申購資金並隨之增加基金資產所帶來的預期利益被認為符合該基金現有股東的整體利益。</w:t>
      </w: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7C1D93" w:rsidRDefault="00C67600" w:rsidP="00C67600">
      <w:pPr>
        <w:widowControl/>
        <w:spacing w:line="360" w:lineRule="exact"/>
        <w:contextualSpacing/>
        <w:rPr>
          <w:rFonts w:ascii="微軟正黑體" w:eastAsia="微軟正黑體" w:hAnsi="微軟正黑體" w:cs="Calibri"/>
          <w:kern w:val="0"/>
          <w:szCs w:val="24"/>
        </w:rPr>
      </w:pPr>
    </w:p>
    <w:p w:rsidR="00C67600" w:rsidRPr="00C67600" w:rsidRDefault="00C67600" w:rsidP="00C67600">
      <w:pPr>
        <w:widowControl/>
        <w:spacing w:line="360" w:lineRule="exact"/>
        <w:contextualSpacing/>
        <w:rPr>
          <w:rFonts w:ascii="微軟正黑體" w:eastAsia="微軟正黑體" w:hAnsi="微軟正黑體" w:cs="Calibri" w:hint="eastAsia"/>
          <w:kern w:val="0"/>
          <w:szCs w:val="24"/>
        </w:rPr>
      </w:pPr>
    </w:p>
    <w:p w:rsidR="00C67600" w:rsidRPr="007C1D93" w:rsidRDefault="00C67600" w:rsidP="00C67600">
      <w:pPr>
        <w:widowControl/>
        <w:numPr>
          <w:ilvl w:val="0"/>
          <w:numId w:val="9"/>
        </w:numPr>
        <w:autoSpaceDE w:val="0"/>
        <w:autoSpaceDN w:val="0"/>
        <w:snapToGrid w:val="0"/>
        <w:rPr>
          <w:rFonts w:ascii="微軟正黑體" w:eastAsia="微軟正黑體" w:hAnsi="微軟正黑體"/>
          <w:b/>
          <w:bCs/>
          <w:sz w:val="28"/>
          <w:szCs w:val="28"/>
          <w:lang w:eastAsia="zh-CN"/>
        </w:rPr>
      </w:pPr>
      <w:r w:rsidRPr="007C1D93">
        <w:rPr>
          <w:rFonts w:ascii="微軟正黑體" w:eastAsia="微軟正黑體" w:hAnsi="微軟正黑體" w:hint="eastAsia"/>
          <w:b/>
          <w:bCs/>
          <w:sz w:val="28"/>
          <w:szCs w:val="28"/>
          <w:lang w:eastAsia="zh-CN"/>
        </w:rPr>
        <w:t>基金更名之後續辦理事項</w:t>
      </w:r>
    </w:p>
    <w:p w:rsidR="00C67600" w:rsidRPr="007C1D93" w:rsidRDefault="00C67600" w:rsidP="00C67600">
      <w:pPr>
        <w:widowControl/>
        <w:autoSpaceDE w:val="0"/>
        <w:autoSpaceDN w:val="0"/>
        <w:snapToGrid w:val="0"/>
        <w:ind w:left="480"/>
        <w:rPr>
          <w:rFonts w:ascii="微軟正黑體" w:eastAsia="微軟正黑體" w:hAnsi="微軟正黑體" w:hint="eastAsia"/>
          <w:b/>
          <w:bCs/>
          <w:sz w:val="28"/>
          <w:szCs w:val="28"/>
          <w:highlight w:val="yellow"/>
          <w:lang w:eastAsia="zh-CN"/>
        </w:rPr>
      </w:pPr>
    </w:p>
    <w:p w:rsidR="00C67600" w:rsidRPr="007C1D93" w:rsidRDefault="00C67600" w:rsidP="00C67600">
      <w:pPr>
        <w:autoSpaceDE w:val="0"/>
        <w:autoSpaceDN w:val="0"/>
        <w:snapToGrid w:val="0"/>
        <w:rPr>
          <w:rFonts w:ascii="微軟正黑體" w:eastAsia="微軟正黑體" w:hAnsi="微軟正黑體"/>
          <w:color w:val="1F497D"/>
          <w:lang w:eastAsia="zh-CN"/>
        </w:rPr>
      </w:pPr>
      <w:r w:rsidRPr="007C1D93">
        <w:rPr>
          <w:rFonts w:ascii="微軟正黑體" w:eastAsia="微軟正黑體" w:hAnsi="微軟正黑體" w:hint="eastAsia"/>
          <w:b/>
          <w:bCs/>
          <w:lang w:eastAsia="zh-CN"/>
        </w:rPr>
        <w:t>有關</w:t>
      </w:r>
      <w:r w:rsidRPr="007C1D93">
        <w:rPr>
          <w:rFonts w:ascii="微軟正黑體" w:eastAsia="微軟正黑體" w:hAnsi="微軟正黑體" w:hint="eastAsia"/>
          <w:b/>
          <w:bCs/>
          <w:lang w:eastAsia="zh-HK"/>
        </w:rPr>
        <w:t>富蘭克林坦伯頓全球投資系列－</w:t>
      </w:r>
      <w:r w:rsidRPr="007C1D93">
        <w:rPr>
          <w:rFonts w:ascii="微軟正黑體" w:eastAsia="微軟正黑體" w:hAnsi="微軟正黑體" w:hint="eastAsia"/>
          <w:b/>
          <w:bCs/>
        </w:rPr>
        <w:t>全球基金（以下稱「本基金」）</w:t>
      </w:r>
      <w:r w:rsidRPr="007C1D93">
        <w:rPr>
          <w:rFonts w:ascii="微軟正黑體" w:eastAsia="微軟正黑體" w:hAnsi="微軟正黑體" w:hint="eastAsia"/>
          <w:b/>
          <w:bCs/>
          <w:lang w:eastAsia="zh-HK"/>
        </w:rPr>
        <w:t>之基金英文名稱</w:t>
      </w:r>
      <w:r w:rsidRPr="007C1D93">
        <w:rPr>
          <w:rFonts w:ascii="微軟正黑體" w:eastAsia="微軟正黑體" w:hAnsi="微軟正黑體" w:hint="eastAsia"/>
          <w:b/>
          <w:bCs/>
          <w:lang w:eastAsia="zh-CN"/>
        </w:rPr>
        <w:t>變更案：</w:t>
      </w:r>
    </w:p>
    <w:p w:rsidR="00C67600" w:rsidRPr="007C1D93" w:rsidRDefault="00C67600" w:rsidP="00C67600">
      <w:pPr>
        <w:widowControl/>
        <w:numPr>
          <w:ilvl w:val="0"/>
          <w:numId w:val="6"/>
        </w:numPr>
        <w:autoSpaceDE w:val="0"/>
        <w:autoSpaceDN w:val="0"/>
        <w:snapToGrid w:val="0"/>
        <w:rPr>
          <w:rFonts w:ascii="微軟正黑體" w:eastAsia="微軟正黑體" w:hAnsi="微軟正黑體" w:hint="eastAsia"/>
          <w:b/>
          <w:bCs/>
          <w:lang w:eastAsia="zh-HK"/>
        </w:rPr>
      </w:pPr>
      <w:r w:rsidRPr="007C1D93">
        <w:rPr>
          <w:rFonts w:ascii="微軟正黑體" w:eastAsia="微軟正黑體" w:hAnsi="微軟正黑體" w:hint="eastAsia"/>
          <w:b/>
          <w:bCs/>
          <w:lang w:eastAsia="zh-HK"/>
        </w:rPr>
        <w:t>背景說明</w:t>
      </w:r>
    </w:p>
    <w:p w:rsidR="00C67600" w:rsidRPr="007C1D93" w:rsidRDefault="00C67600" w:rsidP="00C67600">
      <w:pPr>
        <w:autoSpaceDE w:val="0"/>
        <w:autoSpaceDN w:val="0"/>
        <w:snapToGrid w:val="0"/>
        <w:ind w:left="360"/>
        <w:rPr>
          <w:rFonts w:ascii="微軟正黑體" w:eastAsia="微軟正黑體" w:hAnsi="微軟正黑體" w:hint="eastAsia"/>
          <w:color w:val="1F497D"/>
        </w:rPr>
      </w:pPr>
      <w:r w:rsidRPr="007C1D93">
        <w:rPr>
          <w:rFonts w:ascii="微軟正黑體" w:eastAsia="微軟正黑體" w:hAnsi="微軟正黑體" w:hint="eastAsia"/>
          <w:lang w:eastAsia="zh-HK"/>
        </w:rPr>
        <w:t>本</w:t>
      </w:r>
      <w:r w:rsidRPr="007C1D93">
        <w:rPr>
          <w:rFonts w:ascii="微軟正黑體" w:eastAsia="微軟正黑體" w:hAnsi="微軟正黑體" w:hint="eastAsia"/>
        </w:rPr>
        <w:t>公司</w:t>
      </w:r>
      <w:r w:rsidRPr="007C1D93">
        <w:rPr>
          <w:rFonts w:ascii="微軟正黑體" w:eastAsia="微軟正黑體" w:hAnsi="微軟正黑體" w:hint="eastAsia"/>
          <w:lang w:eastAsia="zh-HK"/>
        </w:rPr>
        <w:t>依境外基金管理辦法第十二條第六項第五款規定，</w:t>
      </w:r>
      <w:r w:rsidRPr="007C1D93">
        <w:rPr>
          <w:rFonts w:ascii="微軟正黑體" w:eastAsia="微軟正黑體" w:hAnsi="微軟正黑體" w:hint="eastAsia"/>
        </w:rPr>
        <w:t>已取得金管會核准在案。並</w:t>
      </w:r>
      <w:r w:rsidRPr="007C1D93">
        <w:rPr>
          <w:rFonts w:ascii="微軟正黑體" w:eastAsia="微軟正黑體" w:hAnsi="微軟正黑體" w:hint="eastAsia"/>
          <w:lang w:eastAsia="zh-HK"/>
        </w:rPr>
        <w:t>依據境外基金機構將反映</w:t>
      </w:r>
      <w:r w:rsidRPr="007C1D93">
        <w:rPr>
          <w:rFonts w:ascii="微軟正黑體" w:eastAsia="微軟正黑體" w:hAnsi="微軟正黑體" w:hint="eastAsia"/>
        </w:rPr>
        <w:t>前</w:t>
      </w:r>
      <w:r w:rsidRPr="007C1D93">
        <w:rPr>
          <w:rFonts w:ascii="微軟正黑體" w:eastAsia="微軟正黑體" w:hAnsi="微軟正黑體" w:hint="eastAsia"/>
          <w:lang w:eastAsia="zh-HK"/>
        </w:rPr>
        <w:t>揭基金英文名稱變更之公開說明書提呈盧森堡金融監督處(CSSF)審核，已於202</w:t>
      </w:r>
      <w:r w:rsidRPr="007C1D93">
        <w:rPr>
          <w:rFonts w:ascii="微軟正黑體" w:eastAsia="微軟正黑體" w:hAnsi="微軟正黑體" w:hint="eastAsia"/>
        </w:rPr>
        <w:t>6</w:t>
      </w:r>
      <w:r w:rsidRPr="007C1D93">
        <w:rPr>
          <w:rFonts w:ascii="微軟正黑體" w:eastAsia="微軟正黑體" w:hAnsi="微軟正黑體" w:hint="eastAsia"/>
          <w:lang w:eastAsia="zh-HK"/>
        </w:rPr>
        <w:t>年</w:t>
      </w:r>
      <w:r w:rsidRPr="007C1D93">
        <w:rPr>
          <w:rFonts w:ascii="微軟正黑體" w:eastAsia="微軟正黑體" w:hAnsi="微軟正黑體" w:hint="eastAsia"/>
        </w:rPr>
        <w:t>3</w:t>
      </w:r>
      <w:r w:rsidRPr="007C1D93">
        <w:rPr>
          <w:rFonts w:ascii="微軟正黑體" w:eastAsia="微軟正黑體" w:hAnsi="微軟正黑體" w:hint="eastAsia"/>
          <w:lang w:eastAsia="zh-HK"/>
        </w:rPr>
        <w:t>月</w:t>
      </w:r>
      <w:r w:rsidRPr="007C1D93">
        <w:rPr>
          <w:rFonts w:ascii="微軟正黑體" w:eastAsia="微軟正黑體" w:hAnsi="微軟正黑體" w:hint="eastAsia"/>
        </w:rPr>
        <w:t>6</w:t>
      </w:r>
      <w:r w:rsidRPr="007C1D93">
        <w:rPr>
          <w:rFonts w:ascii="微軟正黑體" w:eastAsia="微軟正黑體" w:hAnsi="微軟正黑體" w:hint="eastAsia"/>
          <w:lang w:eastAsia="zh-HK"/>
        </w:rPr>
        <w:t>日取得CSSF核准在案。</w:t>
      </w:r>
    </w:p>
    <w:p w:rsidR="00C67600" w:rsidRPr="007C1D93" w:rsidRDefault="00C67600" w:rsidP="00C67600">
      <w:pPr>
        <w:autoSpaceDE w:val="0"/>
        <w:autoSpaceDN w:val="0"/>
        <w:snapToGrid w:val="0"/>
        <w:rPr>
          <w:rFonts w:ascii="微軟正黑體" w:eastAsia="微軟正黑體" w:hAnsi="微軟正黑體"/>
          <w:color w:val="1F497D"/>
        </w:rPr>
      </w:pPr>
    </w:p>
    <w:p w:rsidR="00C67600" w:rsidRPr="007C1D93" w:rsidRDefault="00C67600" w:rsidP="00C67600">
      <w:pPr>
        <w:autoSpaceDE w:val="0"/>
        <w:autoSpaceDN w:val="0"/>
        <w:snapToGrid w:val="0"/>
        <w:ind w:left="360"/>
        <w:rPr>
          <w:rFonts w:ascii="微軟正黑體" w:eastAsia="微軟正黑體" w:hAnsi="微軟正黑體"/>
          <w:color w:val="1F497D"/>
          <w:lang w:eastAsia="zh-HK"/>
        </w:rPr>
      </w:pPr>
      <w:r w:rsidRPr="007C1D93">
        <w:rPr>
          <w:rFonts w:ascii="微軟正黑體" w:eastAsia="微軟正黑體" w:hAnsi="微軟正黑體" w:hint="eastAsia"/>
        </w:rPr>
        <w:t>上述</w:t>
      </w:r>
      <w:r w:rsidRPr="007C1D93">
        <w:rPr>
          <w:rFonts w:ascii="微軟正黑體" w:eastAsia="微軟正黑體" w:hAnsi="微軟正黑體" w:hint="eastAsia"/>
          <w:lang w:eastAsia="zh-HK"/>
        </w:rPr>
        <w:t>基金之管理方式、風險概況或綜合風險及報酬指標，或收費將不會因為基金英文名稱變更而發生任何實質性變動，故投資人權益並不受影響。</w:t>
      </w:r>
    </w:p>
    <w:p w:rsidR="00C67600" w:rsidRPr="007C1D93" w:rsidRDefault="00C67600" w:rsidP="00C67600">
      <w:pPr>
        <w:autoSpaceDE w:val="0"/>
        <w:autoSpaceDN w:val="0"/>
        <w:snapToGrid w:val="0"/>
        <w:rPr>
          <w:rFonts w:ascii="微軟正黑體" w:eastAsia="微軟正黑體" w:hAnsi="微軟正黑體" w:hint="eastAsia"/>
          <w:color w:val="1F497D"/>
          <w:lang w:eastAsia="zh-HK"/>
        </w:rPr>
      </w:pPr>
    </w:p>
    <w:p w:rsidR="00C67600" w:rsidRPr="007C1D93" w:rsidRDefault="00C67600" w:rsidP="00C67600">
      <w:pPr>
        <w:autoSpaceDE w:val="0"/>
        <w:autoSpaceDN w:val="0"/>
        <w:snapToGrid w:val="0"/>
        <w:ind w:left="360"/>
        <w:rPr>
          <w:rFonts w:ascii="微軟正黑體" w:eastAsia="微軟正黑體" w:hAnsi="微軟正黑體"/>
        </w:rPr>
      </w:pPr>
      <w:r w:rsidRPr="007C1D93">
        <w:rPr>
          <w:rFonts w:ascii="微軟正黑體" w:eastAsia="微軟正黑體" w:hAnsi="微軟正黑體" w:hint="eastAsia"/>
        </w:rPr>
        <w:t>本基金之更名案，本公司已於</w:t>
      </w:r>
      <w:r w:rsidRPr="007C1D93">
        <w:rPr>
          <w:rFonts w:ascii="微軟正黑體" w:eastAsia="微軟正黑體" w:hAnsi="微軟正黑體" w:cs="Calibri" w:hint="eastAsia"/>
          <w:b/>
          <w:bCs/>
          <w:color w:val="3333FF"/>
          <w:kern w:val="0"/>
          <w:szCs w:val="24"/>
        </w:rPr>
        <w:t>2026年3月6日寄發股東信函</w:t>
      </w:r>
      <w:r w:rsidRPr="007C1D93">
        <w:rPr>
          <w:rFonts w:ascii="微軟正黑體" w:eastAsia="微軟正黑體" w:hAnsi="微軟正黑體" w:hint="eastAsia"/>
        </w:rPr>
        <w:t>通知投資人及所委任之各銷售機構。</w:t>
      </w:r>
    </w:p>
    <w:p w:rsidR="00C67600" w:rsidRPr="007C1D93" w:rsidRDefault="00C67600" w:rsidP="00C67600">
      <w:pPr>
        <w:widowControl/>
        <w:numPr>
          <w:ilvl w:val="0"/>
          <w:numId w:val="6"/>
        </w:numPr>
        <w:autoSpaceDE w:val="0"/>
        <w:autoSpaceDN w:val="0"/>
        <w:snapToGrid w:val="0"/>
        <w:rPr>
          <w:rFonts w:ascii="微軟正黑體" w:eastAsia="微軟正黑體" w:hAnsi="微軟正黑體"/>
          <w:b/>
          <w:bCs/>
          <w:lang w:eastAsia="zh-HK"/>
        </w:rPr>
      </w:pPr>
      <w:r w:rsidRPr="007C1D93">
        <w:rPr>
          <w:rFonts w:ascii="微軟正黑體" w:eastAsia="微軟正黑體" w:hAnsi="微軟正黑體" w:hint="eastAsia"/>
          <w:b/>
          <w:bCs/>
          <w:lang w:eastAsia="zh-CN"/>
        </w:rPr>
        <w:t>基金名稱前後對照表</w:t>
      </w:r>
    </w:p>
    <w:p w:rsidR="00C67600" w:rsidRPr="007C1D93" w:rsidRDefault="00C67600" w:rsidP="00C67600">
      <w:pPr>
        <w:autoSpaceDE w:val="0"/>
        <w:autoSpaceDN w:val="0"/>
        <w:snapToGrid w:val="0"/>
        <w:ind w:left="388"/>
        <w:rPr>
          <w:rFonts w:ascii="微軟正黑體" w:eastAsia="微軟正黑體" w:hAnsi="微軟正黑體"/>
          <w:bCs/>
        </w:rPr>
      </w:pPr>
      <w:r w:rsidRPr="007C1D93">
        <w:rPr>
          <w:rFonts w:ascii="微軟正黑體" w:eastAsia="微軟正黑體" w:hAnsi="微軟正黑體" w:hint="eastAsia"/>
          <w:bCs/>
        </w:rPr>
        <w:t>自更名生效日起，</w:t>
      </w:r>
      <w:r w:rsidRPr="007C1D93">
        <w:rPr>
          <w:rFonts w:ascii="微軟正黑體" w:eastAsia="微軟正黑體" w:hAnsi="微軟正黑體" w:hint="eastAsia"/>
          <w:bCs/>
          <w:lang w:eastAsia="zh-HK"/>
        </w:rPr>
        <w:t>對外使用之相關銷售文件或廣告有關基金名稱後方警語之異動與調整</w:t>
      </w:r>
      <w:r w:rsidRPr="007C1D93">
        <w:rPr>
          <w:rFonts w:ascii="微軟正黑體" w:eastAsia="微軟正黑體" w:hAnsi="微軟正黑體" w:hint="eastAsia"/>
          <w:bCs/>
        </w:rPr>
        <w:t>如下，依主管機關核准函規定，境外基金名稱變更之日起1年內，於投資人須知及公開說明書中譯本</w:t>
      </w:r>
      <w:r w:rsidRPr="007C1D93">
        <w:rPr>
          <w:rFonts w:ascii="微軟正黑體" w:eastAsia="微軟正黑體" w:hAnsi="微軟正黑體" w:hint="eastAsia"/>
          <w:bCs/>
          <w:u w:val="single"/>
        </w:rPr>
        <w:t>並列基金之新舊名稱</w:t>
      </w:r>
      <w:r w:rsidRPr="007C1D93">
        <w:rPr>
          <w:rFonts w:ascii="微軟正黑體" w:eastAsia="微軟正黑體" w:hAnsi="微軟正黑體" w:hint="eastAsia"/>
          <w:bCs/>
        </w:rPr>
        <w:t>。</w:t>
      </w:r>
    </w:p>
    <w:p w:rsidR="00C67600" w:rsidRPr="007C1D93" w:rsidRDefault="00C67600" w:rsidP="00C67600">
      <w:pPr>
        <w:autoSpaceDE w:val="0"/>
        <w:autoSpaceDN w:val="0"/>
        <w:snapToGrid w:val="0"/>
        <w:ind w:left="388"/>
        <w:rPr>
          <w:rFonts w:ascii="微軟正黑體" w:eastAsia="微軟正黑體" w:hAnsi="微軟正黑體"/>
          <w:b/>
          <w:bCs/>
          <w:lang w:eastAsia="zh-HK"/>
        </w:rPr>
      </w:pPr>
    </w:p>
    <w:p w:rsidR="00C67600" w:rsidRPr="007C1D93" w:rsidRDefault="00C67600" w:rsidP="00C67600">
      <w:pPr>
        <w:autoSpaceDE w:val="0"/>
        <w:autoSpaceDN w:val="0"/>
        <w:snapToGrid w:val="0"/>
        <w:ind w:left="388"/>
        <w:rPr>
          <w:rFonts w:ascii="微軟正黑體" w:eastAsia="微軟正黑體" w:hAnsi="微軟正黑體" w:hint="eastAsia"/>
          <w:b/>
          <w:bCs/>
          <w:lang w:eastAsia="zh-HK"/>
        </w:rPr>
      </w:pPr>
      <w:r w:rsidRPr="007C1D93">
        <w:rPr>
          <w:rFonts w:ascii="微軟正黑體" w:eastAsia="微軟正黑體" w:hAnsi="微軟正黑體" w:hint="eastAsia"/>
          <w:b/>
          <w:bCs/>
          <w:color w:val="FF0000"/>
          <w:lang w:eastAsia="zh-HK"/>
        </w:rPr>
        <w:t>基金更名生效日: 2026 年 6 月 8 日</w:t>
      </w:r>
    </w:p>
    <w:tbl>
      <w:tblPr>
        <w:tblW w:w="931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89"/>
        <w:gridCol w:w="4823"/>
      </w:tblGrid>
      <w:tr w:rsidR="00C67600" w:rsidRPr="00C67600" w:rsidTr="004C29FD">
        <w:trPr>
          <w:trHeight w:val="433"/>
        </w:trPr>
        <w:tc>
          <w:tcPr>
            <w:tcW w:w="4489"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C67600" w:rsidRPr="00C67600" w:rsidRDefault="00C67600" w:rsidP="00C67600">
            <w:pPr>
              <w:spacing w:line="360" w:lineRule="exact"/>
              <w:ind w:right="-2"/>
              <w:contextualSpacing/>
              <w:jc w:val="center"/>
              <w:rPr>
                <w:rFonts w:ascii="微軟正黑體" w:eastAsia="微軟正黑體" w:hAnsi="微軟正黑體" w:cs="新細明體"/>
                <w:szCs w:val="24"/>
              </w:rPr>
            </w:pPr>
            <w:r w:rsidRPr="00C67600">
              <w:rPr>
                <w:rFonts w:ascii="微軟正黑體" w:eastAsia="微軟正黑體" w:hAnsi="微軟正黑體" w:cs="Times New Roman" w:hint="eastAsia"/>
                <w:b/>
                <w:szCs w:val="24"/>
              </w:rPr>
              <w:t>變更前</w:t>
            </w:r>
            <w:r w:rsidRPr="00C67600">
              <w:rPr>
                <w:rFonts w:ascii="微軟正黑體" w:eastAsia="微軟正黑體" w:hAnsi="微軟正黑體" w:cs="Times New Roman" w:hint="eastAsia"/>
                <w:szCs w:val="24"/>
              </w:rPr>
              <w:t xml:space="preserve"> 基金中英文名稱</w:t>
            </w:r>
          </w:p>
        </w:tc>
        <w:tc>
          <w:tcPr>
            <w:tcW w:w="4823"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C67600" w:rsidRPr="00C67600" w:rsidRDefault="00C67600" w:rsidP="00C67600">
            <w:pPr>
              <w:spacing w:line="360" w:lineRule="exact"/>
              <w:ind w:right="-2"/>
              <w:contextualSpacing/>
              <w:jc w:val="center"/>
              <w:rPr>
                <w:rFonts w:ascii="微軟正黑體" w:eastAsia="微軟正黑體" w:hAnsi="微軟正黑體" w:cs="新細明體"/>
                <w:szCs w:val="24"/>
              </w:rPr>
            </w:pPr>
            <w:r w:rsidRPr="00C67600">
              <w:rPr>
                <w:rFonts w:ascii="微軟正黑體" w:eastAsia="微軟正黑體" w:hAnsi="微軟正黑體" w:cs="Times New Roman" w:hint="eastAsia"/>
                <w:b/>
                <w:szCs w:val="24"/>
              </w:rPr>
              <w:t>變更後</w:t>
            </w:r>
            <w:r w:rsidRPr="00C67600">
              <w:rPr>
                <w:rFonts w:ascii="微軟正黑體" w:eastAsia="微軟正黑體" w:hAnsi="微軟正黑體" w:cs="Times New Roman" w:hint="eastAsia"/>
                <w:szCs w:val="24"/>
              </w:rPr>
              <w:t xml:space="preserve"> 基金中英文名稱</w:t>
            </w:r>
          </w:p>
        </w:tc>
      </w:tr>
      <w:tr w:rsidR="00C67600" w:rsidRPr="00C67600" w:rsidTr="004C29FD">
        <w:trPr>
          <w:trHeight w:val="684"/>
        </w:trPr>
        <w:tc>
          <w:tcPr>
            <w:tcW w:w="4489" w:type="dxa"/>
            <w:tcBorders>
              <w:top w:val="single" w:sz="4" w:space="0" w:color="auto"/>
              <w:left w:val="single" w:sz="4" w:space="0" w:color="auto"/>
              <w:bottom w:val="single" w:sz="4" w:space="0" w:color="auto"/>
              <w:right w:val="single" w:sz="4" w:space="0" w:color="auto"/>
            </w:tcBorders>
            <w:noWrap/>
          </w:tcPr>
          <w:p w:rsidR="00C67600" w:rsidRPr="00C67600" w:rsidRDefault="00C67600" w:rsidP="00C67600">
            <w:pPr>
              <w:widowControl/>
              <w:spacing w:line="320" w:lineRule="exact"/>
              <w:rPr>
                <w:rFonts w:ascii="微軟正黑體" w:eastAsia="微軟正黑體" w:hAnsi="微軟正黑體" w:cs="SimSun"/>
                <w:szCs w:val="24"/>
                <w:lang w:eastAsia="zh-CN"/>
              </w:rPr>
            </w:pPr>
            <w:r w:rsidRPr="00C67600">
              <w:rPr>
                <w:rFonts w:ascii="微軟正黑體" w:eastAsia="微軟正黑體" w:hAnsi="微軟正黑體" w:cs="SimSun" w:hint="eastAsia"/>
                <w:szCs w:val="24"/>
                <w:lang w:eastAsia="zh-CN"/>
              </w:rPr>
              <w:t>Franklin Templeton Investment Funds</w:t>
            </w:r>
            <w:r w:rsidRPr="00C67600">
              <w:rPr>
                <w:rFonts w:ascii="微軟正黑體" w:eastAsia="微軟正黑體" w:hAnsi="微軟正黑體" w:cs="SimSun" w:hint="eastAsia"/>
                <w:szCs w:val="24"/>
              </w:rPr>
              <w:t xml:space="preserve"> </w:t>
            </w:r>
            <w:r w:rsidRPr="00C67600">
              <w:rPr>
                <w:rFonts w:ascii="微軟正黑體" w:eastAsia="微軟正黑體" w:hAnsi="微軟正黑體" w:cs="SimSun" w:hint="eastAsia"/>
                <w:szCs w:val="24"/>
                <w:lang w:eastAsia="zh-CN"/>
              </w:rPr>
              <w:t xml:space="preserve">- </w:t>
            </w:r>
            <w:r w:rsidRPr="00C67600">
              <w:rPr>
                <w:rFonts w:ascii="微軟正黑體" w:eastAsia="微軟正黑體" w:hAnsi="微軟正黑體" w:cs="SimSun" w:hint="eastAsia"/>
                <w:b/>
                <w:szCs w:val="24"/>
                <w:lang w:eastAsia="zh-CN"/>
              </w:rPr>
              <w:t>Templeton Global Fund</w:t>
            </w:r>
          </w:p>
          <w:p w:rsidR="00C67600" w:rsidRPr="00C67600" w:rsidRDefault="00C67600" w:rsidP="00C67600">
            <w:pPr>
              <w:widowControl/>
              <w:spacing w:line="320" w:lineRule="exact"/>
              <w:rPr>
                <w:rFonts w:ascii="微軟正黑體" w:eastAsia="微軟正黑體" w:hAnsi="微軟正黑體" w:cs="Times New Roman"/>
                <w:color w:val="1F497D"/>
                <w:szCs w:val="24"/>
                <w:lang w:eastAsia="zh-CN"/>
              </w:rPr>
            </w:pPr>
          </w:p>
          <w:p w:rsidR="00C67600" w:rsidRPr="00C67600" w:rsidRDefault="00C67600" w:rsidP="00C67600">
            <w:pPr>
              <w:widowControl/>
              <w:spacing w:line="320" w:lineRule="exact"/>
              <w:rPr>
                <w:rFonts w:ascii="微軟正黑體" w:eastAsia="微軟正黑體" w:hAnsi="微軟正黑體" w:cs="SimSun"/>
                <w:szCs w:val="24"/>
                <w:lang w:eastAsia="zh-CN"/>
              </w:rPr>
            </w:pPr>
            <w:r w:rsidRPr="00C67600">
              <w:rPr>
                <w:rFonts w:ascii="微軟正黑體" w:eastAsia="微軟正黑體" w:hAnsi="微軟正黑體" w:cs="SimSun" w:hint="eastAsia"/>
                <w:szCs w:val="24"/>
                <w:lang w:eastAsia="zh-CN"/>
              </w:rPr>
              <w:t>富蘭克林坦伯頓全球投資系列－全球基金</w:t>
            </w:r>
          </w:p>
        </w:tc>
        <w:tc>
          <w:tcPr>
            <w:tcW w:w="4823" w:type="dxa"/>
            <w:tcBorders>
              <w:top w:val="single" w:sz="4" w:space="0" w:color="auto"/>
              <w:left w:val="single" w:sz="4" w:space="0" w:color="auto"/>
              <w:bottom w:val="single" w:sz="4" w:space="0" w:color="auto"/>
              <w:right w:val="single" w:sz="4" w:space="0" w:color="auto"/>
            </w:tcBorders>
            <w:noWrap/>
          </w:tcPr>
          <w:p w:rsidR="00C67600" w:rsidRPr="00C67600" w:rsidRDefault="00C67600" w:rsidP="00C67600">
            <w:pPr>
              <w:widowControl/>
              <w:spacing w:line="320" w:lineRule="exact"/>
              <w:rPr>
                <w:rFonts w:ascii="微軟正黑體" w:eastAsia="微軟正黑體" w:hAnsi="微軟正黑體" w:cs="SimSun"/>
                <w:szCs w:val="24"/>
                <w:lang w:val="en-GB" w:eastAsia="zh-CN"/>
              </w:rPr>
            </w:pPr>
            <w:r w:rsidRPr="00C67600">
              <w:rPr>
                <w:rFonts w:ascii="微軟正黑體" w:eastAsia="微軟正黑體" w:hAnsi="微軟正黑體" w:cs="SimSun" w:hint="eastAsia"/>
                <w:szCs w:val="24"/>
                <w:lang w:val="en-GB" w:eastAsia="zh-CN"/>
              </w:rPr>
              <w:t>Franklin Templeton Investment Funds</w:t>
            </w:r>
            <w:r w:rsidRPr="00C67600">
              <w:rPr>
                <w:rFonts w:ascii="微軟正黑體" w:eastAsia="微軟正黑體" w:hAnsi="微軟正黑體" w:cs="SimSun" w:hint="eastAsia"/>
                <w:szCs w:val="24"/>
                <w:lang w:val="en-GB"/>
              </w:rPr>
              <w:t xml:space="preserve"> </w:t>
            </w:r>
            <w:r w:rsidRPr="00C67600">
              <w:rPr>
                <w:rFonts w:ascii="微軟正黑體" w:eastAsia="微軟正黑體" w:hAnsi="微軟正黑體" w:cs="SimSun" w:hint="eastAsia"/>
                <w:szCs w:val="24"/>
                <w:lang w:val="en-GB" w:eastAsia="zh-CN"/>
              </w:rPr>
              <w:t>-</w:t>
            </w:r>
            <w:r w:rsidRPr="00C67600">
              <w:rPr>
                <w:rFonts w:ascii="微軟正黑體" w:eastAsia="微軟正黑體" w:hAnsi="微軟正黑體" w:cs="SimSun" w:hint="eastAsia"/>
                <w:szCs w:val="24"/>
                <w:lang w:val="en-GB"/>
              </w:rPr>
              <w:t xml:space="preserve"> </w:t>
            </w:r>
            <w:r w:rsidRPr="00C67600">
              <w:rPr>
                <w:rFonts w:ascii="微軟正黑體" w:eastAsia="微軟正黑體" w:hAnsi="微軟正黑體" w:cs="SimSun" w:hint="eastAsia"/>
                <w:b/>
                <w:szCs w:val="24"/>
                <w:lang w:eastAsia="zh-CN"/>
              </w:rPr>
              <w:t>Templeton Global</w:t>
            </w:r>
            <w:r w:rsidRPr="00C67600">
              <w:rPr>
                <w:rFonts w:ascii="微軟正黑體" w:eastAsia="微軟正黑體" w:hAnsi="微軟正黑體" w:cs="SimSun" w:hint="eastAsia"/>
                <w:b/>
                <w:szCs w:val="24"/>
                <w:lang w:val="en-GB" w:eastAsia="zh-CN"/>
              </w:rPr>
              <w:t xml:space="preserve"> </w:t>
            </w:r>
            <w:r w:rsidRPr="00C67600">
              <w:rPr>
                <w:rFonts w:ascii="微軟正黑體" w:eastAsia="微軟正黑體" w:hAnsi="微軟正黑體" w:cs="SimSun" w:hint="eastAsia"/>
                <w:b/>
                <w:color w:val="3333FF"/>
                <w:szCs w:val="24"/>
                <w:u w:val="single"/>
                <w:lang w:val="en-GB" w:eastAsia="zh-CN"/>
              </w:rPr>
              <w:t>Focus</w:t>
            </w:r>
            <w:r w:rsidRPr="00C67600">
              <w:rPr>
                <w:rFonts w:ascii="微軟正黑體" w:eastAsia="微軟正黑體" w:hAnsi="微軟正黑體" w:cs="SimSun" w:hint="eastAsia"/>
                <w:b/>
                <w:szCs w:val="24"/>
                <w:lang w:val="en-GB" w:eastAsia="zh-CN"/>
              </w:rPr>
              <w:t xml:space="preserve"> Fund</w:t>
            </w:r>
          </w:p>
          <w:p w:rsidR="00C67600" w:rsidRPr="00C67600" w:rsidRDefault="00C67600" w:rsidP="00C67600">
            <w:pPr>
              <w:widowControl/>
              <w:spacing w:line="320" w:lineRule="exact"/>
              <w:rPr>
                <w:rFonts w:ascii="微軟正黑體" w:eastAsia="微軟正黑體" w:hAnsi="微軟正黑體" w:cs="Times New Roman"/>
                <w:color w:val="1F497D"/>
                <w:szCs w:val="24"/>
                <w:lang w:val="en-GB" w:eastAsia="zh-CN"/>
              </w:rPr>
            </w:pPr>
          </w:p>
          <w:p w:rsidR="00C67600" w:rsidRPr="00C67600" w:rsidRDefault="00C67600" w:rsidP="00C67600">
            <w:pPr>
              <w:widowControl/>
              <w:spacing w:line="320" w:lineRule="exact"/>
              <w:rPr>
                <w:rFonts w:ascii="微軟正黑體" w:eastAsia="微軟正黑體" w:hAnsi="微軟正黑體" w:cs="SimSun"/>
                <w:szCs w:val="24"/>
                <w:lang w:eastAsia="zh-CN"/>
              </w:rPr>
            </w:pPr>
            <w:r w:rsidRPr="00C67600">
              <w:rPr>
                <w:rFonts w:ascii="微軟正黑體" w:eastAsia="微軟正黑體" w:hAnsi="微軟正黑體" w:cs="SimSun" w:hint="eastAsia"/>
                <w:szCs w:val="24"/>
                <w:lang w:eastAsia="zh-CN"/>
              </w:rPr>
              <w:t>富蘭克林坦伯頓全球投資系列－全球基金</w:t>
            </w:r>
          </w:p>
        </w:tc>
      </w:tr>
    </w:tbl>
    <w:p w:rsidR="00C710DB" w:rsidRPr="007C1D93" w:rsidRDefault="00C710DB" w:rsidP="00C710DB">
      <w:pPr>
        <w:spacing w:line="480" w:lineRule="exact"/>
        <w:rPr>
          <w:rFonts w:ascii="微軟正黑體" w:eastAsia="微軟正黑體" w:hAnsi="微軟正黑體" w:cs="Times New Roman"/>
          <w:sz w:val="28"/>
          <w:szCs w:val="28"/>
        </w:rPr>
      </w:pPr>
    </w:p>
    <w:sectPr w:rsidR="00C710DB" w:rsidRPr="007C1D93" w:rsidSect="00802F74">
      <w:headerReference w:type="default" r:id="rId7"/>
      <w:pgSz w:w="11906" w:h="16838"/>
      <w:pgMar w:top="1418"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0AE" w:rsidRDefault="004F30AE" w:rsidP="004F30AE">
      <w:r>
        <w:separator/>
      </w:r>
    </w:p>
  </w:endnote>
  <w:endnote w:type="continuationSeparator" w:id="0">
    <w:p w:rsidR="004F30AE" w:rsidRDefault="004F30AE" w:rsidP="004F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altName w:val="Arial Unicode MS"/>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0AE" w:rsidRDefault="004F30AE" w:rsidP="004F30AE">
      <w:r>
        <w:separator/>
      </w:r>
    </w:p>
  </w:footnote>
  <w:footnote w:type="continuationSeparator" w:id="0">
    <w:p w:rsidR="004F30AE" w:rsidRDefault="004F30AE" w:rsidP="004F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3F" w:rsidRDefault="009D4D3F">
    <w:pPr>
      <w:pStyle w:val="a3"/>
    </w:pPr>
    <w:r>
      <w:rPr>
        <w:noProof/>
      </w:rPr>
      <w:drawing>
        <wp:inline distT="0" distB="0" distL="0" distR="0" wp14:anchorId="3F03C7F6" wp14:editId="0F1AFD90">
          <wp:extent cx="1371600" cy="721360"/>
          <wp:effectExtent l="0" t="0" r="0" b="2540"/>
          <wp:docPr id="1" name="圖片 1" descr="05_FTI_Corp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_FTI_Corp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213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67A"/>
    <w:multiLevelType w:val="hybridMultilevel"/>
    <w:tmpl w:val="C1A0B804"/>
    <w:lvl w:ilvl="0" w:tplc="E62CD3F0">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9B63914"/>
    <w:multiLevelType w:val="hybridMultilevel"/>
    <w:tmpl w:val="C14E665C"/>
    <w:lvl w:ilvl="0" w:tplc="58EE2964">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 w15:restartNumberingAfterBreak="0">
    <w:nsid w:val="147863E6"/>
    <w:multiLevelType w:val="hybridMultilevel"/>
    <w:tmpl w:val="55949D70"/>
    <w:lvl w:ilvl="0" w:tplc="0409000F">
      <w:start w:val="1"/>
      <w:numFmt w:val="decimal"/>
      <w:lvlText w:val="%1."/>
      <w:lvlJc w:val="left"/>
      <w:pPr>
        <w:ind w:left="480" w:hanging="480"/>
      </w:pPr>
      <w:rPr>
        <w:rFonts w:cs="Times New Roman"/>
      </w:rPr>
    </w:lvl>
    <w:lvl w:ilvl="1" w:tplc="58EE2964">
      <w:start w:val="1"/>
      <w:numFmt w:val="decimal"/>
      <w:lvlText w:val="(%2)"/>
      <w:lvlJc w:val="left"/>
      <w:pPr>
        <w:ind w:left="840" w:hanging="36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148569DF"/>
    <w:multiLevelType w:val="hybridMultilevel"/>
    <w:tmpl w:val="0F64B106"/>
    <w:lvl w:ilvl="0" w:tplc="BE9AB508">
      <w:start w:val="1"/>
      <w:numFmt w:val="decimal"/>
      <w:lvlText w:val="(%1)"/>
      <w:lvlJc w:val="left"/>
      <w:pPr>
        <w:ind w:left="960" w:hanging="480"/>
      </w:pPr>
      <w:rPr>
        <w:rFonts w:ascii="微軟正黑體" w:eastAsia="微軟正黑體" w:hAnsi="微軟正黑體" w:cs="Times New Roman" w:hint="eastAsia"/>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4" w15:restartNumberingAfterBreak="0">
    <w:nsid w:val="1574490B"/>
    <w:multiLevelType w:val="hybridMultilevel"/>
    <w:tmpl w:val="F6944ECE"/>
    <w:lvl w:ilvl="0" w:tplc="E62CD3F0">
      <w:start w:val="1"/>
      <w:numFmt w:val="taiwaneseCountingThousand"/>
      <w:lvlText w:val="(%1)"/>
      <w:lvlJc w:val="left"/>
      <w:pPr>
        <w:ind w:left="480" w:hanging="480"/>
      </w:pPr>
    </w:lvl>
    <w:lvl w:ilvl="1" w:tplc="C4F8E172">
      <w:start w:val="1"/>
      <w:numFmt w:val="decimal"/>
      <w:lvlText w:val="%2."/>
      <w:lvlJc w:val="left"/>
      <w:pPr>
        <w:ind w:left="840" w:hanging="360"/>
      </w:pPr>
      <w:rPr>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BDF4F81"/>
    <w:multiLevelType w:val="hybridMultilevel"/>
    <w:tmpl w:val="7ACC4B82"/>
    <w:lvl w:ilvl="0" w:tplc="FD9CED48">
      <w:start w:val="1"/>
      <w:numFmt w:val="ideographLegalTraditional"/>
      <w:lvlText w:val="%1、"/>
      <w:lvlJc w:val="left"/>
      <w:pPr>
        <w:ind w:left="720" w:hanging="720"/>
      </w:pPr>
      <w:rPr>
        <w:rFonts w:eastAsia="微軟正黑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304A46F7"/>
    <w:multiLevelType w:val="hybridMultilevel"/>
    <w:tmpl w:val="9A58BFFC"/>
    <w:lvl w:ilvl="0" w:tplc="AE36F222">
      <w:start w:val="1"/>
      <w:numFmt w:val="taiwaneseCountingThousand"/>
      <w:lvlText w:val="(%1)"/>
      <w:lvlJc w:val="left"/>
      <w:pPr>
        <w:ind w:left="388" w:hanging="388"/>
      </w:pPr>
      <w:rPr>
        <w:rFonts w:ascii="微軟正黑體" w:eastAsia="微軟正黑體" w:hAnsi="微軟正黑體" w:cs="Times New Roman" w:hint="eastAsia"/>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6D3D1A78"/>
    <w:multiLevelType w:val="hybridMultilevel"/>
    <w:tmpl w:val="6C72E5D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E5F7D9E"/>
    <w:multiLevelType w:val="hybridMultilevel"/>
    <w:tmpl w:val="C48E35C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FA"/>
    <w:rsid w:val="00085AD2"/>
    <w:rsid w:val="001D17EB"/>
    <w:rsid w:val="00334DFA"/>
    <w:rsid w:val="004F30AE"/>
    <w:rsid w:val="00703232"/>
    <w:rsid w:val="007C1D93"/>
    <w:rsid w:val="00802F74"/>
    <w:rsid w:val="00891940"/>
    <w:rsid w:val="008F4F55"/>
    <w:rsid w:val="00910E68"/>
    <w:rsid w:val="009D4D3F"/>
    <w:rsid w:val="00B869B3"/>
    <w:rsid w:val="00C009A6"/>
    <w:rsid w:val="00C67600"/>
    <w:rsid w:val="00C710DB"/>
    <w:rsid w:val="00CF40C0"/>
    <w:rsid w:val="00D0277E"/>
    <w:rsid w:val="00D06809"/>
    <w:rsid w:val="00E079D1"/>
    <w:rsid w:val="00F27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67BB"/>
  <w15:chartTrackingRefBased/>
  <w15:docId w15:val="{68537EAB-F668-4B66-BB68-6B5817A0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0AE"/>
    <w:pPr>
      <w:tabs>
        <w:tab w:val="center" w:pos="4153"/>
        <w:tab w:val="right" w:pos="8306"/>
      </w:tabs>
      <w:snapToGrid w:val="0"/>
    </w:pPr>
    <w:rPr>
      <w:sz w:val="20"/>
      <w:szCs w:val="20"/>
    </w:rPr>
  </w:style>
  <w:style w:type="character" w:customStyle="1" w:styleId="a4">
    <w:name w:val="頁首 字元"/>
    <w:basedOn w:val="a0"/>
    <w:link w:val="a3"/>
    <w:uiPriority w:val="99"/>
    <w:rsid w:val="004F30AE"/>
    <w:rPr>
      <w:sz w:val="20"/>
      <w:szCs w:val="20"/>
    </w:rPr>
  </w:style>
  <w:style w:type="paragraph" w:styleId="a5">
    <w:name w:val="footer"/>
    <w:basedOn w:val="a"/>
    <w:link w:val="a6"/>
    <w:uiPriority w:val="99"/>
    <w:unhideWhenUsed/>
    <w:rsid w:val="004F30AE"/>
    <w:pPr>
      <w:tabs>
        <w:tab w:val="center" w:pos="4153"/>
        <w:tab w:val="right" w:pos="8306"/>
      </w:tabs>
      <w:snapToGrid w:val="0"/>
    </w:pPr>
    <w:rPr>
      <w:sz w:val="20"/>
      <w:szCs w:val="20"/>
    </w:rPr>
  </w:style>
  <w:style w:type="character" w:customStyle="1" w:styleId="a6">
    <w:name w:val="頁尾 字元"/>
    <w:basedOn w:val="a0"/>
    <w:link w:val="a5"/>
    <w:uiPriority w:val="99"/>
    <w:rsid w:val="004F30AE"/>
    <w:rPr>
      <w:sz w:val="20"/>
      <w:szCs w:val="20"/>
    </w:rPr>
  </w:style>
  <w:style w:type="character" w:customStyle="1" w:styleId="a7">
    <w:name w:val="清單段落 字元"/>
    <w:link w:val="a8"/>
    <w:uiPriority w:val="34"/>
    <w:locked/>
    <w:rsid w:val="004F30AE"/>
    <w:rPr>
      <w:rFonts w:ascii="Calibri" w:hAnsi="Calibri" w:cs="Calibri"/>
      <w:szCs w:val="24"/>
    </w:rPr>
  </w:style>
  <w:style w:type="paragraph" w:styleId="a8">
    <w:name w:val="List Paragraph"/>
    <w:basedOn w:val="a"/>
    <w:link w:val="a7"/>
    <w:uiPriority w:val="34"/>
    <w:qFormat/>
    <w:rsid w:val="004F30AE"/>
    <w:pPr>
      <w:widowControl/>
      <w:ind w:leftChars="200" w:left="480"/>
    </w:pPr>
    <w:rPr>
      <w:rFonts w:ascii="Calibri" w:hAnsi="Calibri" w:cs="Calibri"/>
      <w:szCs w:val="24"/>
    </w:rPr>
  </w:style>
  <w:style w:type="paragraph" w:styleId="a9">
    <w:name w:val="Balloon Text"/>
    <w:basedOn w:val="a"/>
    <w:link w:val="aa"/>
    <w:uiPriority w:val="99"/>
    <w:semiHidden/>
    <w:unhideWhenUsed/>
    <w:rsid w:val="00802F7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02F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5150">
      <w:bodyDiv w:val="1"/>
      <w:marLeft w:val="0"/>
      <w:marRight w:val="0"/>
      <w:marTop w:val="0"/>
      <w:marBottom w:val="0"/>
      <w:divBdr>
        <w:top w:val="none" w:sz="0" w:space="0" w:color="auto"/>
        <w:left w:val="none" w:sz="0" w:space="0" w:color="auto"/>
        <w:bottom w:val="none" w:sz="0" w:space="0" w:color="auto"/>
        <w:right w:val="none" w:sz="0" w:space="0" w:color="auto"/>
      </w:divBdr>
    </w:div>
    <w:div w:id="389156240">
      <w:bodyDiv w:val="1"/>
      <w:marLeft w:val="0"/>
      <w:marRight w:val="0"/>
      <w:marTop w:val="0"/>
      <w:marBottom w:val="0"/>
      <w:divBdr>
        <w:top w:val="none" w:sz="0" w:space="0" w:color="auto"/>
        <w:left w:val="none" w:sz="0" w:space="0" w:color="auto"/>
        <w:bottom w:val="none" w:sz="0" w:space="0" w:color="auto"/>
        <w:right w:val="none" w:sz="0" w:space="0" w:color="auto"/>
      </w:divBdr>
    </w:div>
    <w:div w:id="454177659">
      <w:bodyDiv w:val="1"/>
      <w:marLeft w:val="0"/>
      <w:marRight w:val="0"/>
      <w:marTop w:val="0"/>
      <w:marBottom w:val="0"/>
      <w:divBdr>
        <w:top w:val="none" w:sz="0" w:space="0" w:color="auto"/>
        <w:left w:val="none" w:sz="0" w:space="0" w:color="auto"/>
        <w:bottom w:val="none" w:sz="0" w:space="0" w:color="auto"/>
        <w:right w:val="none" w:sz="0" w:space="0" w:color="auto"/>
      </w:divBdr>
    </w:div>
    <w:div w:id="787118466">
      <w:bodyDiv w:val="1"/>
      <w:marLeft w:val="0"/>
      <w:marRight w:val="0"/>
      <w:marTop w:val="0"/>
      <w:marBottom w:val="0"/>
      <w:divBdr>
        <w:top w:val="none" w:sz="0" w:space="0" w:color="auto"/>
        <w:left w:val="none" w:sz="0" w:space="0" w:color="auto"/>
        <w:bottom w:val="none" w:sz="0" w:space="0" w:color="auto"/>
        <w:right w:val="none" w:sz="0" w:space="0" w:color="auto"/>
      </w:divBdr>
    </w:div>
    <w:div w:id="955136261">
      <w:bodyDiv w:val="1"/>
      <w:marLeft w:val="0"/>
      <w:marRight w:val="0"/>
      <w:marTop w:val="0"/>
      <w:marBottom w:val="0"/>
      <w:divBdr>
        <w:top w:val="none" w:sz="0" w:space="0" w:color="auto"/>
        <w:left w:val="none" w:sz="0" w:space="0" w:color="auto"/>
        <w:bottom w:val="none" w:sz="0" w:space="0" w:color="auto"/>
        <w:right w:val="none" w:sz="0" w:space="0" w:color="auto"/>
      </w:divBdr>
    </w:div>
    <w:div w:id="973019239">
      <w:bodyDiv w:val="1"/>
      <w:marLeft w:val="0"/>
      <w:marRight w:val="0"/>
      <w:marTop w:val="0"/>
      <w:marBottom w:val="0"/>
      <w:divBdr>
        <w:top w:val="none" w:sz="0" w:space="0" w:color="auto"/>
        <w:left w:val="none" w:sz="0" w:space="0" w:color="auto"/>
        <w:bottom w:val="none" w:sz="0" w:space="0" w:color="auto"/>
        <w:right w:val="none" w:sz="0" w:space="0" w:color="auto"/>
      </w:divBdr>
    </w:div>
    <w:div w:id="1092895517">
      <w:bodyDiv w:val="1"/>
      <w:marLeft w:val="0"/>
      <w:marRight w:val="0"/>
      <w:marTop w:val="0"/>
      <w:marBottom w:val="0"/>
      <w:divBdr>
        <w:top w:val="none" w:sz="0" w:space="0" w:color="auto"/>
        <w:left w:val="none" w:sz="0" w:space="0" w:color="auto"/>
        <w:bottom w:val="none" w:sz="0" w:space="0" w:color="auto"/>
        <w:right w:val="none" w:sz="0" w:space="0" w:color="auto"/>
      </w:divBdr>
    </w:div>
    <w:div w:id="1248688689">
      <w:bodyDiv w:val="1"/>
      <w:marLeft w:val="0"/>
      <w:marRight w:val="0"/>
      <w:marTop w:val="0"/>
      <w:marBottom w:val="0"/>
      <w:divBdr>
        <w:top w:val="none" w:sz="0" w:space="0" w:color="auto"/>
        <w:left w:val="none" w:sz="0" w:space="0" w:color="auto"/>
        <w:bottom w:val="none" w:sz="0" w:space="0" w:color="auto"/>
        <w:right w:val="none" w:sz="0" w:space="0" w:color="auto"/>
      </w:divBdr>
    </w:div>
    <w:div w:id="1361274095">
      <w:bodyDiv w:val="1"/>
      <w:marLeft w:val="0"/>
      <w:marRight w:val="0"/>
      <w:marTop w:val="0"/>
      <w:marBottom w:val="0"/>
      <w:divBdr>
        <w:top w:val="none" w:sz="0" w:space="0" w:color="auto"/>
        <w:left w:val="none" w:sz="0" w:space="0" w:color="auto"/>
        <w:bottom w:val="none" w:sz="0" w:space="0" w:color="auto"/>
        <w:right w:val="none" w:sz="0" w:space="0" w:color="auto"/>
      </w:divBdr>
    </w:div>
    <w:div w:id="19121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Sammy</dc:creator>
  <cp:keywords/>
  <dc:description/>
  <cp:lastModifiedBy>Yan, Sammy</cp:lastModifiedBy>
  <cp:revision>17</cp:revision>
  <cp:lastPrinted>2025-09-24T04:04:00Z</cp:lastPrinted>
  <dcterms:created xsi:type="dcterms:W3CDTF">2025-03-10T01:41:00Z</dcterms:created>
  <dcterms:modified xsi:type="dcterms:W3CDTF">2026-03-09T07:09:00Z</dcterms:modified>
</cp:coreProperties>
</file>